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hint="eastAsia" w:asciiTheme="minorEastAsia" w:hAnsiTheme="minorEastAsia" w:eastAsiaTheme="minorEastAsia" w:cstheme="minorEastAsia"/>
          <w:b/>
          <w:bCs/>
          <w:sz w:val="24"/>
          <w:szCs w:val="24"/>
        </w:rPr>
      </w:pPr>
      <w:bookmarkStart w:id="0" w:name="_GoBack"/>
      <w:bookmarkEnd w:id="0"/>
      <w:r>
        <w:rPr>
          <w:rFonts w:hint="eastAsia" w:asciiTheme="minorEastAsia" w:hAnsiTheme="minorEastAsia" w:eastAsiaTheme="minorEastAsia" w:cstheme="minorEastAsia"/>
          <w:b/>
          <w:bCs/>
          <w:sz w:val="24"/>
          <w:szCs w:val="24"/>
        </w:rPr>
        <w:t>附件1</w:t>
      </w:r>
    </w:p>
    <w:p w14:paraId="746C2B84">
      <w:pPr>
        <w:spacing w:line="360" w:lineRule="exact"/>
        <w:jc w:val="center"/>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val="en-US" w:eastAsia="zh-CN"/>
        </w:rPr>
        <w:t>项目概况</w:t>
      </w:r>
      <w:r>
        <w:rPr>
          <w:rFonts w:hint="eastAsia" w:asciiTheme="minorEastAsia" w:hAnsiTheme="minorEastAsia" w:eastAsiaTheme="minorEastAsia" w:cstheme="minorEastAsia"/>
          <w:b/>
          <w:color w:val="000000"/>
          <w:sz w:val="24"/>
          <w:szCs w:val="24"/>
          <w:lang w:eastAsia="zh-CN"/>
        </w:rPr>
        <w:t>和要求</w:t>
      </w:r>
    </w:p>
    <w:p w14:paraId="79D396A0">
      <w:pPr>
        <w:spacing w:line="360" w:lineRule="exact"/>
        <w:jc w:val="center"/>
        <w:rPr>
          <w:rFonts w:hint="eastAsia" w:asciiTheme="minorEastAsia" w:hAnsiTheme="minorEastAsia" w:eastAsiaTheme="minorEastAsia" w:cstheme="minorEastAsia"/>
          <w:b/>
          <w:color w:val="000000"/>
          <w:sz w:val="24"/>
          <w:szCs w:val="24"/>
          <w:lang w:eastAsia="zh-CN"/>
        </w:rPr>
      </w:pPr>
    </w:p>
    <w:tbl>
      <w:tblPr>
        <w:tblStyle w:val="26"/>
        <w:tblW w:w="5016"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13"/>
        <w:gridCol w:w="5730"/>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66" w:type="pct"/>
            <w:noWrap w:val="0"/>
            <w:vAlign w:val="center"/>
          </w:tcPr>
          <w:p w14:paraId="3F350461">
            <w:pPr>
              <w:pStyle w:val="25"/>
              <w:spacing w:before="137"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项目名称</w:t>
            </w:r>
          </w:p>
        </w:tc>
        <w:tc>
          <w:tcPr>
            <w:tcW w:w="3433" w:type="pct"/>
            <w:noWrap w:val="0"/>
            <w:vAlign w:val="center"/>
          </w:tcPr>
          <w:p w14:paraId="6434A05D">
            <w:pPr>
              <w:pStyle w:val="25"/>
              <w:spacing w:before="138" w:line="219"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充换电兼容模式新能源车辆采购项目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567" w:hRule="atLeast"/>
        </w:trPr>
        <w:tc>
          <w:tcPr>
            <w:tcW w:w="1566" w:type="pct"/>
            <w:noWrap w:val="0"/>
            <w:vAlign w:val="center"/>
          </w:tcPr>
          <w:p w14:paraId="292BEB1A">
            <w:pPr>
              <w:pStyle w:val="25"/>
              <w:spacing w:before="78"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项目概况</w:t>
            </w:r>
          </w:p>
        </w:tc>
        <w:tc>
          <w:tcPr>
            <w:tcW w:w="3433" w:type="pct"/>
            <w:noWrap w:val="0"/>
            <w:vAlign w:val="center"/>
          </w:tcPr>
          <w:p w14:paraId="776CD510">
            <w:pPr>
              <w:keepNext w:val="0"/>
              <w:keepLines w:val="0"/>
              <w:pageBreakBefore w:val="0"/>
              <w:widowControl w:val="0"/>
              <w:kinsoku/>
              <w:wordWrap/>
              <w:overflowPunct/>
              <w:topLinePunct w:val="0"/>
              <w:autoSpaceDE/>
              <w:autoSpaceDN/>
              <w:bidi w:val="0"/>
              <w:adjustRightInd/>
              <w:snapToGrid/>
              <w:spacing w:before="78"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w:t>
            </w:r>
            <w:r>
              <w:rPr>
                <w:rFonts w:hint="eastAsia" w:ascii="宋体" w:hAnsi="宋体" w:eastAsia="宋体" w:cs="宋体"/>
                <w:sz w:val="24"/>
                <w:szCs w:val="24"/>
              </w:rPr>
              <w:t>采购具备充换电兼容模式的新能源纯电动巡游出租车一批，包括车辆本身的供货、运输、调试、验收、</w:t>
            </w:r>
            <w:r>
              <w:rPr>
                <w:rFonts w:hint="eastAsia" w:ascii="宋体" w:hAnsi="宋体" w:eastAsia="宋体" w:cs="宋体"/>
                <w:sz w:val="24"/>
                <w:szCs w:val="24"/>
                <w:lang w:val="en-US" w:eastAsia="zh-CN"/>
              </w:rPr>
              <w:t>改色、计价器等设备设施、</w:t>
            </w:r>
            <w:r>
              <w:rPr>
                <w:rFonts w:hint="eastAsia" w:ascii="宋体" w:hAnsi="宋体" w:eastAsia="宋体" w:cs="宋体"/>
                <w:sz w:val="24"/>
                <w:szCs w:val="24"/>
              </w:rPr>
              <w:t>培训及相关售后服务，每车须随车配备一块动力电池</w:t>
            </w:r>
            <w:r>
              <w:rPr>
                <w:rFonts w:hint="eastAsia" w:ascii="宋体" w:hAnsi="宋体" w:eastAsia="宋体" w:cs="宋体"/>
                <w:sz w:val="24"/>
                <w:szCs w:val="24"/>
                <w:lang w:val="en-US" w:eastAsia="zh-CN"/>
              </w:rPr>
              <w:t>。</w:t>
            </w:r>
          </w:p>
          <w:p w14:paraId="16B458C6">
            <w:pPr>
              <w:keepNext w:val="0"/>
              <w:keepLines w:val="0"/>
              <w:pageBreakBefore w:val="0"/>
              <w:widowControl w:val="0"/>
              <w:kinsoku/>
              <w:wordWrap/>
              <w:overflowPunct/>
              <w:topLinePunct w:val="0"/>
              <w:autoSpaceDE/>
              <w:autoSpaceDN/>
              <w:bidi w:val="0"/>
              <w:adjustRightInd/>
              <w:snapToGrid/>
              <w:spacing w:before="78"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2、数量：预估</w:t>
            </w:r>
            <w:r>
              <w:rPr>
                <w:rFonts w:hint="eastAsia" w:ascii="宋体" w:hAnsi="宋体" w:eastAsia="宋体" w:cs="宋体"/>
                <w:sz w:val="24"/>
                <w:szCs w:val="24"/>
              </w:rPr>
              <w:t>采购</w:t>
            </w:r>
            <w:r>
              <w:rPr>
                <w:rFonts w:hint="eastAsia" w:ascii="宋体" w:hAnsi="宋体" w:eastAsia="宋体" w:cs="宋体"/>
                <w:sz w:val="24"/>
                <w:szCs w:val="24"/>
                <w:lang w:val="en-US" w:eastAsia="zh-CN"/>
              </w:rPr>
              <w:t>25</w:t>
            </w:r>
            <w:r>
              <w:rPr>
                <w:rFonts w:hint="eastAsia" w:ascii="宋体" w:hAnsi="宋体" w:eastAsia="宋体" w:cs="宋体"/>
                <w:sz w:val="24"/>
                <w:szCs w:val="24"/>
              </w:rPr>
              <w:t>辆，最终结算以实际采购数量为准，</w:t>
            </w:r>
            <w:r>
              <w:rPr>
                <w:rFonts w:hint="eastAsia" w:ascii="宋体" w:hAnsi="宋体" w:eastAsia="宋体" w:cs="宋体"/>
                <w:sz w:val="24"/>
                <w:szCs w:val="24"/>
                <w:lang w:val="en-US" w:eastAsia="zh-CN"/>
              </w:rPr>
              <w:t>后续</w:t>
            </w:r>
            <w:r>
              <w:rPr>
                <w:rFonts w:hint="eastAsia" w:ascii="宋体" w:hAnsi="宋体" w:eastAsia="宋体" w:cs="宋体"/>
                <w:sz w:val="24"/>
                <w:szCs w:val="24"/>
              </w:rPr>
              <w:t>根据全年出租车报废更新</w:t>
            </w:r>
            <w:r>
              <w:rPr>
                <w:rFonts w:hint="eastAsia" w:ascii="宋体" w:hAnsi="宋体" w:eastAsia="宋体" w:cs="宋体"/>
                <w:sz w:val="24"/>
                <w:szCs w:val="24"/>
                <w:lang w:val="en-US" w:eastAsia="zh-CN"/>
              </w:rPr>
              <w:t>承包</w:t>
            </w:r>
            <w:r>
              <w:rPr>
                <w:rFonts w:hint="eastAsia" w:ascii="宋体" w:hAnsi="宋体" w:eastAsia="宋体" w:cs="宋体"/>
                <w:sz w:val="24"/>
                <w:szCs w:val="24"/>
              </w:rPr>
              <w:t>情况分批次进行车辆采购</w:t>
            </w:r>
            <w:r>
              <w:rPr>
                <w:rFonts w:hint="eastAsia" w:ascii="宋体" w:hAnsi="宋体" w:eastAsia="宋体" w:cs="宋体"/>
                <w:sz w:val="24"/>
                <w:szCs w:val="24"/>
                <w:lang w:val="en-US" w:eastAsia="zh-CN"/>
              </w:rPr>
              <w:t>。</w:t>
            </w:r>
          </w:p>
          <w:p w14:paraId="438491AA">
            <w:pPr>
              <w:keepNext w:val="0"/>
              <w:keepLines w:val="0"/>
              <w:pageBreakBefore w:val="0"/>
              <w:widowControl w:val="0"/>
              <w:kinsoku/>
              <w:wordWrap/>
              <w:overflowPunct/>
              <w:topLinePunct w:val="0"/>
              <w:autoSpaceDE/>
              <w:autoSpaceDN/>
              <w:bidi w:val="0"/>
              <w:adjustRightInd/>
              <w:snapToGrid/>
              <w:spacing w:before="78" w:line="360" w:lineRule="auto"/>
              <w:jc w:val="left"/>
              <w:textAlignment w:val="auto"/>
              <w:rPr>
                <w:rFonts w:hint="eastAsia"/>
                <w:lang w:val="en-US" w:eastAsia="zh-CN"/>
              </w:rPr>
            </w:pPr>
            <w:r>
              <w:rPr>
                <w:rFonts w:hint="eastAsia" w:ascii="宋体" w:hAnsi="宋体" w:eastAsia="宋体" w:cs="宋体"/>
                <w:sz w:val="24"/>
                <w:szCs w:val="24"/>
                <w:lang w:val="en-US" w:eastAsia="zh-CN"/>
              </w:rPr>
              <w:t>3、本项目概算不超过350万元。</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566" w:type="pct"/>
            <w:tcBorders>
              <w:bottom w:val="single" w:color="auto" w:sz="4" w:space="0"/>
            </w:tcBorders>
            <w:noWrap w:val="0"/>
            <w:vAlign w:val="center"/>
          </w:tcPr>
          <w:p w14:paraId="52A740F5">
            <w:pPr>
              <w:pStyle w:val="25"/>
              <w:spacing w:before="136"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其他要求</w:t>
            </w:r>
          </w:p>
        </w:tc>
        <w:tc>
          <w:tcPr>
            <w:tcW w:w="3433" w:type="pct"/>
            <w:tcBorders>
              <w:bottom w:val="single" w:color="auto" w:sz="4" w:space="0"/>
            </w:tcBorders>
            <w:noWrap w:val="0"/>
            <w:vAlign w:val="center"/>
          </w:tcPr>
          <w:p w14:paraId="4AAAB36C">
            <w:pPr>
              <w:pStyle w:val="25"/>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000" w:type="pct"/>
            <w:gridSpan w:val="2"/>
            <w:tcBorders>
              <w:top w:val="single" w:color="auto" w:sz="4" w:space="0"/>
            </w:tcBorders>
            <w:noWrap w:val="0"/>
            <w:vAlign w:val="center"/>
          </w:tcPr>
          <w:p w14:paraId="29B26C7E">
            <w:pPr>
              <w:pStyle w:val="25"/>
              <w:spacing w:before="118" w:line="219" w:lineRule="auto"/>
              <w:ind w:left="114"/>
              <w:jc w:val="lef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备注：本项目</w:t>
            </w:r>
            <w:r>
              <w:rPr>
                <w:rFonts w:hint="eastAsia" w:ascii="宋体" w:hAnsi="宋体" w:eastAsia="宋体" w:cs="宋体"/>
                <w:sz w:val="24"/>
                <w:szCs w:val="24"/>
                <w:lang w:val="en-US" w:eastAsia="zh-CN"/>
              </w:rPr>
              <w:t>招标代理费由绵阳空港出租车有限公司支付</w:t>
            </w:r>
            <w:r>
              <w:rPr>
                <w:rFonts w:hint="eastAsia" w:cs="宋体"/>
                <w:sz w:val="24"/>
                <w:szCs w:val="24"/>
                <w:lang w:val="en-US" w:eastAsia="zh-CN"/>
              </w:rPr>
              <w:t>，招标代理合同与</w:t>
            </w:r>
            <w:r>
              <w:rPr>
                <w:rFonts w:hint="eastAsia" w:ascii="宋体" w:hAnsi="宋体" w:eastAsia="宋体" w:cs="宋体"/>
                <w:sz w:val="24"/>
                <w:szCs w:val="24"/>
                <w:lang w:val="en-US" w:eastAsia="zh-CN"/>
              </w:rPr>
              <w:t>绵阳空港出租车有限公司</w:t>
            </w:r>
            <w:r>
              <w:rPr>
                <w:rFonts w:hint="eastAsia" w:cs="宋体"/>
                <w:sz w:val="24"/>
                <w:szCs w:val="24"/>
                <w:lang w:val="en-US" w:eastAsia="zh-CN"/>
              </w:rPr>
              <w:t>签订。</w:t>
            </w:r>
          </w:p>
        </w:tc>
      </w:tr>
    </w:tbl>
    <w:p w14:paraId="633B1B69">
      <w:pPr>
        <w:spacing w:line="360" w:lineRule="auto"/>
        <w:rPr>
          <w:rFonts w:hint="eastAsia" w:asciiTheme="minorEastAsia" w:hAnsiTheme="minorEastAsia" w:eastAsiaTheme="minorEastAsia" w:cstheme="minorEastAsia"/>
          <w:b/>
          <w:bCs/>
          <w:sz w:val="24"/>
          <w:szCs w:val="32"/>
        </w:rPr>
      </w:pPr>
    </w:p>
    <w:p w14:paraId="002FCC63">
      <w:pPr>
        <w:spacing w:line="360" w:lineRule="auto"/>
        <w:rPr>
          <w:rFonts w:hint="eastAsia" w:asciiTheme="minorEastAsia" w:hAnsiTheme="minorEastAsia" w:eastAsiaTheme="minorEastAsia" w:cstheme="minorEastAsia"/>
          <w:b/>
          <w:bCs/>
          <w:sz w:val="24"/>
          <w:szCs w:val="32"/>
        </w:rPr>
      </w:pPr>
    </w:p>
    <w:p w14:paraId="361224E4">
      <w:pPr>
        <w:spacing w:line="360" w:lineRule="auto"/>
        <w:rPr>
          <w:rFonts w:hint="eastAsia" w:asciiTheme="minorEastAsia" w:hAnsiTheme="minorEastAsia" w:eastAsiaTheme="minorEastAsia" w:cstheme="minorEastAsia"/>
          <w:b/>
          <w:bCs/>
          <w:sz w:val="24"/>
          <w:szCs w:val="32"/>
        </w:rPr>
      </w:pPr>
    </w:p>
    <w:p w14:paraId="471DA5A8">
      <w:pPr>
        <w:spacing w:line="360" w:lineRule="auto"/>
        <w:rPr>
          <w:rFonts w:hint="eastAsia" w:asciiTheme="minorEastAsia" w:hAnsiTheme="minorEastAsia" w:eastAsiaTheme="minorEastAsia" w:cstheme="minorEastAsia"/>
          <w:b/>
          <w:bCs/>
          <w:sz w:val="24"/>
          <w:szCs w:val="32"/>
        </w:rPr>
      </w:pPr>
    </w:p>
    <w:p w14:paraId="5F80E49B">
      <w:pPr>
        <w:spacing w:line="360" w:lineRule="auto"/>
        <w:rPr>
          <w:rFonts w:hint="eastAsia" w:asciiTheme="minorEastAsia" w:hAnsiTheme="minorEastAsia" w:eastAsiaTheme="minorEastAsia" w:cstheme="minorEastAsia"/>
          <w:b/>
          <w:bCs/>
          <w:sz w:val="24"/>
          <w:szCs w:val="32"/>
        </w:rPr>
      </w:pPr>
    </w:p>
    <w:p w14:paraId="7CDD724E">
      <w:pPr>
        <w:spacing w:line="360" w:lineRule="auto"/>
        <w:rPr>
          <w:rFonts w:hint="eastAsia" w:asciiTheme="minorEastAsia" w:hAnsiTheme="minorEastAsia" w:eastAsiaTheme="minorEastAsia" w:cstheme="minorEastAsia"/>
          <w:b/>
          <w:bCs/>
          <w:sz w:val="24"/>
          <w:szCs w:val="32"/>
        </w:rPr>
      </w:pPr>
    </w:p>
    <w:p w14:paraId="62E38594">
      <w:pPr>
        <w:spacing w:line="360" w:lineRule="auto"/>
        <w:rPr>
          <w:rFonts w:hint="eastAsia" w:asciiTheme="minorEastAsia" w:hAnsiTheme="minorEastAsia" w:eastAsiaTheme="minorEastAsia" w:cstheme="minorEastAsia"/>
          <w:b/>
          <w:bCs/>
          <w:sz w:val="24"/>
          <w:szCs w:val="32"/>
        </w:rPr>
      </w:pPr>
    </w:p>
    <w:p w14:paraId="7C5951A1">
      <w:pPr>
        <w:spacing w:line="360" w:lineRule="auto"/>
        <w:rPr>
          <w:rFonts w:hint="eastAsia" w:asciiTheme="minorEastAsia" w:hAnsiTheme="minorEastAsia" w:eastAsiaTheme="minorEastAsia" w:cstheme="minorEastAsia"/>
          <w:b/>
          <w:bCs/>
          <w:sz w:val="24"/>
          <w:szCs w:val="32"/>
        </w:rPr>
      </w:pPr>
    </w:p>
    <w:p w14:paraId="67324DFD">
      <w:pPr>
        <w:spacing w:line="360" w:lineRule="auto"/>
        <w:rPr>
          <w:rFonts w:hint="eastAsia" w:asciiTheme="minorEastAsia" w:hAnsiTheme="minorEastAsia" w:eastAsiaTheme="minorEastAsia" w:cstheme="minorEastAsia"/>
          <w:b/>
          <w:bCs/>
          <w:sz w:val="24"/>
          <w:szCs w:val="32"/>
        </w:rPr>
      </w:pPr>
    </w:p>
    <w:p w14:paraId="5A2A4659">
      <w:pPr>
        <w:spacing w:line="360" w:lineRule="auto"/>
        <w:rPr>
          <w:rFonts w:hint="eastAsia" w:asciiTheme="minorEastAsia" w:hAnsiTheme="minorEastAsia" w:eastAsiaTheme="minorEastAsia" w:cstheme="minorEastAsia"/>
          <w:b/>
          <w:bCs/>
          <w:sz w:val="24"/>
          <w:szCs w:val="32"/>
        </w:rPr>
      </w:pPr>
    </w:p>
    <w:p w14:paraId="4E05EBAC">
      <w:pPr>
        <w:spacing w:line="360" w:lineRule="auto"/>
        <w:rPr>
          <w:rFonts w:hint="eastAsia" w:asciiTheme="minorEastAsia" w:hAnsiTheme="minorEastAsia" w:eastAsiaTheme="minorEastAsia" w:cstheme="minorEastAsia"/>
          <w:b/>
          <w:bCs/>
          <w:sz w:val="24"/>
          <w:szCs w:val="32"/>
        </w:rPr>
      </w:pPr>
    </w:p>
    <w:p w14:paraId="215AE8A6">
      <w:pPr>
        <w:spacing w:line="360" w:lineRule="auto"/>
        <w:rPr>
          <w:rFonts w:hint="eastAsia" w:asciiTheme="minorEastAsia" w:hAnsiTheme="minorEastAsia" w:eastAsiaTheme="minorEastAsia" w:cstheme="minorEastAsia"/>
          <w:b/>
          <w:bCs/>
          <w:sz w:val="24"/>
          <w:szCs w:val="32"/>
        </w:rPr>
      </w:pPr>
    </w:p>
    <w:p w14:paraId="79051A37">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5C87F84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《报价文件格式要求》</w:t>
      </w:r>
    </w:p>
    <w:p w14:paraId="4D1A77EC">
      <w:pPr>
        <w:pStyle w:val="2"/>
        <w:rPr>
          <w:rFonts w:hint="eastAsia"/>
        </w:rPr>
      </w:pPr>
    </w:p>
    <w:p w14:paraId="79E58D5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4E942EB1">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p>
    <w:p w14:paraId="1492140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5E1710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202</w:t>
      </w:r>
      <w:r>
        <w:rPr>
          <w:rFonts w:hint="eastAsia" w:asciiTheme="minorEastAsia" w:hAnsiTheme="minorEastAsia" w:cstheme="minorEastAsia"/>
          <w:bCs/>
          <w:color w:val="auto"/>
          <w:kern w:val="2"/>
          <w:sz w:val="24"/>
          <w:szCs w:val="24"/>
          <w:lang w:val="en-US" w:eastAsia="zh-CN" w:bidi="ar-SA"/>
        </w:rPr>
        <w:t>3</w:t>
      </w:r>
      <w:r>
        <w:rPr>
          <w:rFonts w:hint="eastAsia" w:asciiTheme="minorEastAsia" w:hAnsiTheme="minorEastAsia" w:eastAsiaTheme="minorEastAsia" w:cstheme="minorEastAsia"/>
          <w:bCs/>
          <w:color w:val="auto"/>
          <w:kern w:val="2"/>
          <w:sz w:val="24"/>
          <w:szCs w:val="24"/>
          <w:lang w:val="en-US" w:eastAsia="zh-CN" w:bidi="ar-SA"/>
        </w:rPr>
        <w:t>年1月1日至今，未因所</w:t>
      </w:r>
      <w:r>
        <w:rPr>
          <w:rFonts w:hint="eastAsia" w:asciiTheme="minorEastAsia" w:hAnsiTheme="minorEastAsia" w:cstheme="minorEastAsia"/>
          <w:bCs/>
          <w:color w:val="auto"/>
          <w:kern w:val="2"/>
          <w:sz w:val="24"/>
          <w:szCs w:val="24"/>
          <w:lang w:val="en-US" w:eastAsia="zh-CN" w:bidi="ar-SA"/>
        </w:rPr>
        <w:t>提供</w:t>
      </w:r>
      <w:r>
        <w:rPr>
          <w:rFonts w:hint="eastAsia" w:asciiTheme="minorEastAsia" w:hAnsiTheme="minorEastAsia" w:eastAsiaTheme="minorEastAsia" w:cstheme="minorEastAsia"/>
          <w:bCs/>
          <w:color w:val="auto"/>
          <w:kern w:val="2"/>
          <w:sz w:val="24"/>
          <w:szCs w:val="24"/>
          <w:lang w:val="en-US" w:eastAsia="zh-CN" w:bidi="ar-SA"/>
        </w:rPr>
        <w:t>服务的质量原因引起合同纠纷发生仲裁或诉讼事项。（提供声明并加盖单位公章，格式自拟）</w:t>
      </w:r>
    </w:p>
    <w:p w14:paraId="3780A0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报价人没有处于被责令停业，财产被接管、冻结，破产状态；报价人未被列为失信被执行人。（提供承诺函并加盖单位公章，格式自拟）</w:t>
      </w:r>
    </w:p>
    <w:p w14:paraId="5516992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宋体" w:hAnsi="宋体"/>
          <w:bCs/>
          <w:color w:val="auto"/>
          <w:sz w:val="24"/>
          <w:highlight w:val="none"/>
          <w:lang w:val="en-US" w:eastAsia="zh-CN"/>
        </w:rPr>
        <w:t>报价人</w:t>
      </w:r>
      <w:r>
        <w:rPr>
          <w:rFonts w:hint="eastAsia" w:ascii="宋体" w:hAnsi="宋体"/>
          <w:bCs/>
          <w:color w:val="auto"/>
          <w:sz w:val="24"/>
          <w:highlight w:val="none"/>
        </w:rPr>
        <w:t>必须为未被列入“信用中国”网站</w:t>
      </w:r>
    </w:p>
    <w:p w14:paraId="670DCCF7">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宋体" w:hAnsi="宋体"/>
          <w:bCs/>
          <w:color w:val="auto"/>
          <w:sz w:val="24"/>
          <w:highlight w:val="none"/>
        </w:rPr>
        <w:t>（</w:t>
      </w:r>
      <w:r>
        <w:rPr>
          <w:rFonts w:ascii="宋体" w:hAnsi="宋体"/>
          <w:bCs/>
          <w:color w:val="auto"/>
          <w:sz w:val="24"/>
          <w:highlight w:val="none"/>
        </w:rPr>
        <w:t>www.creditchina.gov.cn</w:t>
      </w:r>
      <w:r>
        <w:rPr>
          <w:rFonts w:hint="eastAsia" w:ascii="宋体" w:hAnsi="宋体"/>
          <w:bCs/>
          <w:color w:val="auto"/>
          <w:sz w:val="24"/>
          <w:highlight w:val="none"/>
        </w:rPr>
        <w:t>）</w:t>
      </w:r>
      <w:r>
        <w:rPr>
          <w:rFonts w:hint="eastAsia" w:ascii="宋体" w:hAnsi="宋体"/>
          <w:bCs/>
          <w:color w:val="auto"/>
          <w:sz w:val="24"/>
          <w:highlight w:val="none"/>
          <w:lang w:val="en-US" w:eastAsia="zh-CN"/>
        </w:rPr>
        <w:t>及</w:t>
      </w:r>
      <w:r>
        <w:rPr>
          <w:rFonts w:hint="eastAsia" w:ascii="宋体" w:hAnsi="宋体"/>
          <w:bCs/>
          <w:color w:val="auto"/>
          <w:sz w:val="24"/>
          <w:highlight w:val="none"/>
        </w:rPr>
        <w:t>中国政府采购网（</w:t>
      </w:r>
      <w:r>
        <w:rPr>
          <w:rFonts w:ascii="宋体" w:hAnsi="宋体"/>
          <w:bCs/>
          <w:color w:val="auto"/>
          <w:sz w:val="24"/>
          <w:highlight w:val="none"/>
        </w:rPr>
        <w:t>www.ccgp.gov.cn</w:t>
      </w:r>
      <w:r>
        <w:rPr>
          <w:rFonts w:hint="eastAsia" w:ascii="宋体" w:hAnsi="宋体"/>
          <w:bCs/>
          <w:color w:val="auto"/>
          <w:sz w:val="24"/>
          <w:highlight w:val="none"/>
        </w:rPr>
        <w:t>）渠道信用记录失信被执行人、重大税收违法案件当事人名单、政府采购严重违法失信行为记录名单的企业</w:t>
      </w:r>
      <w:r>
        <w:rPr>
          <w:rFonts w:hint="eastAsia" w:ascii="宋体" w:hAnsi="宋体"/>
          <w:color w:val="auto"/>
          <w:sz w:val="24"/>
          <w:highlight w:val="none"/>
        </w:rPr>
        <w:t>。</w:t>
      </w:r>
      <w:r>
        <w:rPr>
          <w:rFonts w:hint="eastAsia" w:ascii="宋体" w:hAnsi="宋体"/>
          <w:bCs/>
          <w:color w:val="auto"/>
          <w:sz w:val="24"/>
          <w:highlight w:val="none"/>
        </w:rPr>
        <w:t>（以本项目公告发布之后的查询结果为准</w:t>
      </w:r>
      <w:r>
        <w:rPr>
          <w:rFonts w:hint="eastAsia" w:ascii="宋体" w:hAnsi="宋体"/>
          <w:bCs/>
          <w:color w:val="auto"/>
          <w:sz w:val="24"/>
          <w:highlight w:val="none"/>
          <w:lang w:eastAsia="zh-CN"/>
        </w:rPr>
        <w:t>，</w:t>
      </w:r>
      <w:r>
        <w:rPr>
          <w:rFonts w:hint="eastAsia" w:ascii="宋体" w:hAnsi="宋体"/>
          <w:color w:val="auto"/>
          <w:sz w:val="24"/>
          <w:highlight w:val="none"/>
        </w:rPr>
        <w:t>按照网址进行网页截图打印并加盖单位公章</w:t>
      </w:r>
      <w:r>
        <w:rPr>
          <w:rFonts w:hint="eastAsia" w:ascii="宋体" w:hAnsi="宋体"/>
          <w:bCs/>
          <w:color w:val="auto"/>
          <w:sz w:val="24"/>
          <w:highlight w:val="none"/>
        </w:rPr>
        <w:t>）</w:t>
      </w:r>
    </w:p>
    <w:p w14:paraId="030D317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sz w:val="24"/>
          <w:szCs w:val="32"/>
          <w:lang w:val="en-US" w:eastAsia="zh-CN"/>
        </w:rPr>
        <w:t>2023年1月1日至今承接过3个及以上项目金额在300万元以上车辆/公务用车/设备采购类招标代理业绩。（提供合同复印件并加盖单位公章）</w:t>
      </w:r>
    </w:p>
    <w:p w14:paraId="2B40255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sz w:val="24"/>
          <w:szCs w:val="32"/>
          <w:lang w:val="en-US" w:eastAsia="zh-CN"/>
        </w:rPr>
        <w:t>报价人在接到采购电话通知中选后，2日内委派项目负责人到本项目所在地从事招标文件编制及日常对接，直至项目结束。（提供承诺函并加盖单位公章）</w:t>
      </w:r>
    </w:p>
    <w:p w14:paraId="64A1A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特别说明</w:t>
      </w:r>
    </w:p>
    <w:p w14:paraId="03C7258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42CA4C0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6A241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格式内容制作，若报价文件出现附件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格式的★号项内容缺失，则视为出现重大漏项，采购人将不予接受。</w:t>
      </w:r>
    </w:p>
    <w:p w14:paraId="3601AD3A">
      <w:pPr>
        <w:spacing w:line="360" w:lineRule="auto"/>
        <w:rPr>
          <w:rFonts w:hint="eastAsia" w:asciiTheme="minorEastAsia" w:hAnsiTheme="minorEastAsia" w:eastAsiaTheme="minorEastAsia" w:cstheme="minorEastAsia"/>
          <w:b/>
          <w:bCs/>
          <w:sz w:val="24"/>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12E03EB2">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3</w:t>
      </w:r>
      <w:r>
        <w:rPr>
          <w:rFonts w:hint="eastAsia" w:asciiTheme="minorEastAsia" w:hAnsiTheme="minorEastAsia" w:eastAsiaTheme="minorEastAsia" w:cstheme="minorEastAsia"/>
          <w:b/>
          <w:bCs/>
          <w:sz w:val="24"/>
          <w:szCs w:val="32"/>
        </w:rPr>
        <w:t>:</w:t>
      </w:r>
    </w:p>
    <w:p w14:paraId="2297A3D2">
      <w:pPr>
        <w:keepNext w:val="0"/>
        <w:keepLines w:val="0"/>
        <w:pageBreakBefore w:val="0"/>
        <w:widowControl w:val="0"/>
        <w:kinsoku/>
        <w:wordWrap/>
        <w:overflowPunct/>
        <w:topLinePunct w:val="0"/>
        <w:autoSpaceDE/>
        <w:autoSpaceDN/>
        <w:bidi w:val="0"/>
        <w:adjustRightInd/>
        <w:snapToGrid/>
        <w:spacing w:line="430" w:lineRule="exact"/>
        <w:ind w:firstLine="3614" w:firstLineChars="15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 价 函（模板）</w:t>
      </w:r>
    </w:p>
    <w:p w14:paraId="730A8AB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宋体" w:hAnsi="宋体" w:eastAsia="宋体" w:cs="宋体"/>
          <w:sz w:val="24"/>
          <w:szCs w:val="24"/>
          <w:lang w:val="en-US" w:eastAsia="zh-CN"/>
        </w:rPr>
        <w:t>绵阳空港出租车有限公司</w:t>
      </w:r>
      <w:r>
        <w:rPr>
          <w:rFonts w:hint="eastAsia" w:asciiTheme="minorEastAsia" w:hAnsiTheme="minorEastAsia" w:eastAsiaTheme="minorEastAsia" w:cstheme="minorEastAsia"/>
          <w:sz w:val="24"/>
          <w:szCs w:val="32"/>
          <w:lang w:eastAsia="zh-CN"/>
        </w:rPr>
        <w:t>：</w:t>
      </w:r>
    </w:p>
    <w:p w14:paraId="6E1553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w:t>
      </w:r>
      <w:r>
        <w:rPr>
          <w:rFonts w:hint="eastAsia" w:asciiTheme="minorEastAsia" w:hAnsiTheme="minorEastAsia" w:cstheme="minorEastAsia"/>
          <w:sz w:val="24"/>
          <w:szCs w:val="32"/>
          <w:lang w:val="en-US" w:eastAsia="zh-CN"/>
        </w:rPr>
        <w:t>单位</w:t>
      </w:r>
      <w:r>
        <w:rPr>
          <w:rFonts w:hint="eastAsia" w:asciiTheme="minorEastAsia" w:hAnsiTheme="minorEastAsia" w:eastAsiaTheme="minorEastAsia" w:cstheme="minorEastAsia"/>
          <w:sz w:val="24"/>
          <w:szCs w:val="32"/>
        </w:rPr>
        <w:t>愿以</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元的报价，</w:t>
      </w:r>
      <w:r>
        <w:rPr>
          <w:rFonts w:hint="eastAsia" w:asciiTheme="minorEastAsia" w:hAnsiTheme="minorEastAsia" w:eastAsiaTheme="minorEastAsia" w:cstheme="minorEastAsia"/>
          <w:sz w:val="24"/>
          <w:szCs w:val="32"/>
        </w:rPr>
        <w:t>并遵照询价公告（含附件）提出的各项规定和要求实施本项目</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报价明细清单附后</w:t>
      </w:r>
      <w:r>
        <w:rPr>
          <w:rFonts w:hint="eastAsia" w:asciiTheme="minorEastAsia" w:hAnsiTheme="minorEastAsia" w:cstheme="minorEastAsia"/>
          <w:sz w:val="24"/>
          <w:szCs w:val="32"/>
          <w:lang w:eastAsia="zh-CN"/>
        </w:rPr>
        <w:t>。</w:t>
      </w:r>
    </w:p>
    <w:p w14:paraId="70C75B0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2.上述报价为固定包干价，</w:t>
      </w:r>
      <w:r>
        <w:rPr>
          <w:rFonts w:hint="eastAsia" w:asciiTheme="minorEastAsia" w:hAnsiTheme="minorEastAsia" w:cstheme="minorEastAsia"/>
          <w:sz w:val="24"/>
          <w:szCs w:val="24"/>
          <w:lang w:val="en-US" w:eastAsia="zh-CN"/>
        </w:rPr>
        <w:t>包括但不限于所有招标代理服务费如人工费、差旅费、税费、咨询费等，委托人无需支付招标代理人其他任何费用</w:t>
      </w:r>
      <w:r>
        <w:rPr>
          <w:rFonts w:hint="eastAsia" w:asciiTheme="minorEastAsia" w:hAnsiTheme="minorEastAsia" w:eastAsiaTheme="minorEastAsia" w:cstheme="minorEastAsia"/>
          <w:sz w:val="24"/>
          <w:szCs w:val="24"/>
          <w:lang w:val="en-US" w:eastAsia="zh-CN"/>
        </w:rPr>
        <w:t>。</w:t>
      </w:r>
    </w:p>
    <w:p w14:paraId="7A13069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rPr>
        <w:t>.我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w:t>
      </w:r>
      <w:r>
        <w:rPr>
          <w:rFonts w:hint="eastAsia" w:asciiTheme="minorEastAsia" w:hAnsiTheme="minorEastAsia" w:cstheme="minorEastAsia"/>
          <w:color w:val="auto"/>
          <w:sz w:val="24"/>
          <w:szCs w:val="32"/>
          <w:lang w:val="en-US" w:eastAsia="zh-CN"/>
        </w:rPr>
        <w:t>包干</w:t>
      </w:r>
      <w:r>
        <w:rPr>
          <w:rFonts w:hint="eastAsia" w:asciiTheme="minorEastAsia" w:hAnsiTheme="minorEastAsia" w:eastAsiaTheme="minorEastAsia" w:cstheme="minorEastAsia"/>
          <w:color w:val="auto"/>
          <w:sz w:val="24"/>
          <w:szCs w:val="32"/>
        </w:rPr>
        <w:t>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160DCEE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4.项目验收标准：符合且达到合同验收标准。</w:t>
      </w:r>
    </w:p>
    <w:p w14:paraId="2752096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cstheme="minorEastAsia"/>
          <w:color w:val="000000" w:themeColor="text1"/>
          <w:sz w:val="24"/>
          <w:szCs w:val="3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w:t>
      </w:r>
      <w:r>
        <w:rPr>
          <w:rFonts w:hint="eastAsia" w:asciiTheme="minorEastAsia" w:hAnsiTheme="minorEastAsia" w:cstheme="minorEastAsia"/>
          <w:color w:val="000000" w:themeColor="text1"/>
          <w:sz w:val="24"/>
          <w:szCs w:val="32"/>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信息管理库“黑名单”。</w:t>
      </w:r>
    </w:p>
    <w:p w14:paraId="72A989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w:t>
      </w:r>
      <w:r>
        <w:rPr>
          <w:rFonts w:hint="eastAsia" w:asciiTheme="minorEastAsia" w:hAnsiTheme="minorEastAsia" w:cstheme="minorEastAsia"/>
          <w:color w:val="000000" w:themeColor="text1"/>
          <w:sz w:val="24"/>
          <w:szCs w:val="32"/>
          <w:lang w:val="en-US" w:eastAsia="zh-CN"/>
          <w14:textFill>
            <w14:solidFill>
              <w14:schemeClr w14:val="tx1"/>
            </w14:solidFill>
          </w14:textFill>
        </w:rPr>
        <w:t>，最高累计不超过合同总额的30%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中选人</w:t>
      </w:r>
      <w:r>
        <w:rPr>
          <w:rFonts w:hint="eastAsia" w:asciiTheme="minorEastAsia" w:hAnsiTheme="minorEastAsia" w:eastAsiaTheme="minorEastAsia" w:cstheme="minorEastAsia"/>
          <w:sz w:val="24"/>
          <w:szCs w:val="32"/>
          <w:lang w:val="en-US" w:eastAsia="zh-CN"/>
        </w:rPr>
        <w:t>，我单位将按照相关法律法规</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lang w:val="en-US" w:eastAsia="zh-CN"/>
        </w:rPr>
        <w:t>与贵公司签订</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.我单位</w:t>
      </w:r>
      <w:r>
        <w:rPr>
          <w:rFonts w:hint="eastAsia" w:asciiTheme="minorEastAsia" w:hAnsiTheme="minorEastAsia" w:eastAsiaTheme="minorEastAsia" w:cstheme="minorEastAsia"/>
          <w:sz w:val="24"/>
          <w:szCs w:val="24"/>
        </w:rPr>
        <w:t>承诺：20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月1日</w:t>
      </w:r>
      <w:r>
        <w:rPr>
          <w:rFonts w:hint="eastAsia" w:asciiTheme="minorEastAsia" w:hAnsiTheme="minorEastAsia" w:eastAsiaTheme="minorEastAsia" w:cstheme="minorEastAsia"/>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.其他承诺：             （若有）。</w:t>
      </w:r>
    </w:p>
    <w:p w14:paraId="251FB1D8">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2D60DB3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127BE3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053C81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722204F6">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C8E40C4">
      <w:pPr>
        <w:spacing w:line="360" w:lineRule="auto"/>
        <w:rPr>
          <w:rFonts w:hint="eastAsia" w:asciiTheme="minorEastAsia" w:hAnsiTheme="minorEastAsia" w:eastAsiaTheme="minorEastAsia" w:cstheme="minorEastAsia"/>
          <w:b/>
          <w:bCs/>
          <w:sz w:val="24"/>
          <w:szCs w:val="24"/>
          <w:lang w:eastAsia="zh-CN"/>
        </w:rPr>
      </w:pPr>
    </w:p>
    <w:p w14:paraId="196D547D">
      <w:pPr>
        <w:spacing w:line="360" w:lineRule="auto"/>
        <w:rPr>
          <w:rFonts w:hint="eastAsia" w:asciiTheme="minorEastAsia" w:hAnsiTheme="minorEastAsia" w:eastAsiaTheme="minorEastAsia" w:cstheme="minorEastAsia"/>
          <w:b/>
          <w:bCs/>
          <w:sz w:val="24"/>
          <w:szCs w:val="24"/>
          <w:lang w:eastAsia="zh-CN"/>
        </w:rPr>
      </w:pPr>
    </w:p>
    <w:p w14:paraId="49FFA43D">
      <w:pPr>
        <w:spacing w:line="360" w:lineRule="auto"/>
        <w:rPr>
          <w:rFonts w:hint="eastAsia" w:asciiTheme="minorEastAsia" w:hAnsiTheme="minorEastAsia" w:eastAsiaTheme="minorEastAsia" w:cstheme="minorEastAsia"/>
          <w:b/>
          <w:bCs/>
          <w:sz w:val="24"/>
          <w:szCs w:val="24"/>
          <w:lang w:eastAsia="zh-CN"/>
        </w:rPr>
      </w:pPr>
    </w:p>
    <w:p w14:paraId="52228AF1">
      <w:pPr>
        <w:spacing w:line="360" w:lineRule="auto"/>
        <w:rPr>
          <w:rFonts w:hint="eastAsia" w:asciiTheme="minorEastAsia" w:hAnsiTheme="minorEastAsia" w:eastAsiaTheme="minorEastAsia" w:cstheme="minorEastAsia"/>
          <w:b/>
          <w:bCs/>
          <w:sz w:val="24"/>
          <w:szCs w:val="24"/>
          <w:lang w:eastAsia="zh-CN"/>
        </w:rPr>
      </w:pPr>
    </w:p>
    <w:p w14:paraId="6F410B76">
      <w:pPr>
        <w:spacing w:line="360" w:lineRule="auto"/>
        <w:rPr>
          <w:rFonts w:hint="eastAsia" w:asciiTheme="minorEastAsia" w:hAnsiTheme="minorEastAsia" w:eastAsiaTheme="minorEastAsia" w:cstheme="minorEastAsia"/>
          <w:b/>
          <w:bCs/>
          <w:sz w:val="24"/>
          <w:szCs w:val="24"/>
          <w:lang w:eastAsia="zh-CN"/>
        </w:rPr>
      </w:pPr>
    </w:p>
    <w:p w14:paraId="5081DC5B">
      <w:pPr>
        <w:spacing w:line="360" w:lineRule="auto"/>
        <w:rPr>
          <w:rFonts w:hint="eastAsia" w:asciiTheme="minorEastAsia" w:hAnsiTheme="minorEastAsia" w:eastAsiaTheme="minorEastAsia" w:cstheme="minorEastAsia"/>
          <w:b/>
          <w:bCs/>
          <w:sz w:val="24"/>
          <w:szCs w:val="24"/>
          <w:lang w:eastAsia="zh-CN"/>
        </w:rPr>
      </w:pPr>
    </w:p>
    <w:p w14:paraId="5FA1815F">
      <w:pPr>
        <w:spacing w:line="360" w:lineRule="auto"/>
        <w:rPr>
          <w:rFonts w:hint="eastAsia" w:asciiTheme="minorEastAsia" w:hAnsiTheme="minorEastAsia" w:eastAsiaTheme="minorEastAsia" w:cstheme="minorEastAsia"/>
          <w:b/>
          <w:bCs/>
          <w:sz w:val="24"/>
          <w:szCs w:val="24"/>
          <w:lang w:eastAsia="zh-CN"/>
        </w:rPr>
      </w:pPr>
    </w:p>
    <w:p w14:paraId="21DF0E1F">
      <w:pPr>
        <w:spacing w:line="360" w:lineRule="auto"/>
        <w:rPr>
          <w:rFonts w:hint="eastAsia" w:asciiTheme="minorEastAsia" w:hAnsiTheme="minorEastAsia" w:eastAsiaTheme="minorEastAsia" w:cstheme="minorEastAsia"/>
          <w:b/>
          <w:bCs/>
          <w:sz w:val="24"/>
          <w:szCs w:val="24"/>
          <w:lang w:eastAsia="zh-CN"/>
        </w:rPr>
      </w:pPr>
    </w:p>
    <w:p w14:paraId="602E85B0">
      <w:pPr>
        <w:spacing w:line="360" w:lineRule="auto"/>
        <w:rPr>
          <w:rFonts w:hint="eastAsia" w:asciiTheme="minorEastAsia" w:hAnsiTheme="minorEastAsia" w:eastAsiaTheme="minorEastAsia" w:cstheme="minorEastAsia"/>
          <w:b/>
          <w:bCs/>
          <w:sz w:val="24"/>
          <w:szCs w:val="24"/>
          <w:lang w:eastAsia="zh-CN"/>
        </w:rPr>
      </w:pPr>
    </w:p>
    <w:p w14:paraId="609D600F">
      <w:pPr>
        <w:spacing w:line="360" w:lineRule="auto"/>
        <w:rPr>
          <w:rFonts w:hint="eastAsia" w:asciiTheme="minorEastAsia" w:hAnsiTheme="minorEastAsia" w:eastAsiaTheme="minorEastAsia" w:cstheme="minorEastAsia"/>
          <w:b/>
          <w:bCs/>
          <w:sz w:val="24"/>
          <w:szCs w:val="24"/>
          <w:lang w:eastAsia="zh-CN"/>
        </w:rPr>
      </w:pPr>
    </w:p>
    <w:p w14:paraId="22E4E0FA">
      <w:pPr>
        <w:spacing w:line="360" w:lineRule="auto"/>
        <w:rPr>
          <w:rFonts w:hint="eastAsia" w:asciiTheme="minorEastAsia" w:hAnsiTheme="minorEastAsia" w:eastAsiaTheme="minorEastAsia" w:cstheme="minorEastAsia"/>
          <w:b/>
          <w:bCs/>
          <w:sz w:val="24"/>
          <w:szCs w:val="24"/>
          <w:lang w:eastAsia="zh-CN"/>
        </w:rPr>
      </w:pPr>
    </w:p>
    <w:p w14:paraId="55007A6E">
      <w:pPr>
        <w:spacing w:line="360" w:lineRule="auto"/>
        <w:rPr>
          <w:rFonts w:hint="eastAsia" w:asciiTheme="minorEastAsia" w:hAnsiTheme="minorEastAsia" w:eastAsiaTheme="minorEastAsia" w:cstheme="minorEastAsia"/>
          <w:b/>
          <w:bCs/>
          <w:sz w:val="24"/>
          <w:szCs w:val="24"/>
          <w:lang w:eastAsia="zh-CN"/>
        </w:rPr>
      </w:pPr>
    </w:p>
    <w:p w14:paraId="56ECA3F0">
      <w:pPr>
        <w:spacing w:line="360" w:lineRule="auto"/>
        <w:rPr>
          <w:rFonts w:hint="eastAsia" w:asciiTheme="minorEastAsia" w:hAnsiTheme="minorEastAsia" w:eastAsiaTheme="minorEastAsia" w:cstheme="minorEastAsia"/>
          <w:b/>
          <w:bCs/>
          <w:sz w:val="24"/>
          <w:szCs w:val="24"/>
          <w:lang w:eastAsia="zh-CN"/>
        </w:rPr>
      </w:pPr>
    </w:p>
    <w:p w14:paraId="2EC802E7">
      <w:pPr>
        <w:spacing w:line="360" w:lineRule="auto"/>
        <w:rPr>
          <w:rFonts w:hint="eastAsia" w:asciiTheme="minorEastAsia" w:hAnsiTheme="minorEastAsia" w:eastAsiaTheme="minorEastAsia" w:cstheme="minorEastAsia"/>
          <w:b/>
          <w:bCs/>
          <w:sz w:val="24"/>
          <w:szCs w:val="24"/>
          <w:lang w:eastAsia="zh-CN"/>
        </w:rPr>
      </w:pPr>
    </w:p>
    <w:p w14:paraId="05DB9268">
      <w:pPr>
        <w:spacing w:line="360" w:lineRule="auto"/>
        <w:rPr>
          <w:rFonts w:hint="eastAsia" w:asciiTheme="minorEastAsia" w:hAnsiTheme="minorEastAsia" w:eastAsiaTheme="minorEastAsia" w:cstheme="minorEastAsia"/>
          <w:b/>
          <w:bCs/>
          <w:sz w:val="24"/>
          <w:szCs w:val="24"/>
          <w:lang w:eastAsia="zh-CN"/>
        </w:rPr>
      </w:pPr>
    </w:p>
    <w:p w14:paraId="5005C312">
      <w:pPr>
        <w:spacing w:line="360" w:lineRule="auto"/>
        <w:rPr>
          <w:rFonts w:hint="eastAsia" w:asciiTheme="minorEastAsia" w:hAnsiTheme="minorEastAsia" w:eastAsiaTheme="minorEastAsia" w:cstheme="minorEastAsia"/>
          <w:b/>
          <w:bCs/>
          <w:sz w:val="24"/>
          <w:szCs w:val="24"/>
          <w:lang w:eastAsia="zh-CN"/>
        </w:rPr>
      </w:pPr>
    </w:p>
    <w:p w14:paraId="45A21C4F">
      <w:pPr>
        <w:spacing w:line="360" w:lineRule="auto"/>
        <w:rPr>
          <w:rFonts w:hint="eastAsia" w:asciiTheme="minorEastAsia" w:hAnsiTheme="minorEastAsia" w:eastAsiaTheme="minorEastAsia" w:cstheme="minorEastAsia"/>
          <w:b/>
          <w:bCs/>
          <w:sz w:val="24"/>
          <w:szCs w:val="24"/>
          <w:lang w:eastAsia="zh-CN"/>
        </w:rPr>
      </w:pPr>
    </w:p>
    <w:p w14:paraId="5A121F2A">
      <w:pPr>
        <w:spacing w:line="360" w:lineRule="auto"/>
        <w:rPr>
          <w:rFonts w:hint="eastAsia" w:asciiTheme="minorEastAsia" w:hAnsiTheme="minorEastAsia" w:eastAsiaTheme="minorEastAsia" w:cstheme="minorEastAsia"/>
          <w:b/>
          <w:bCs/>
          <w:sz w:val="24"/>
          <w:szCs w:val="24"/>
          <w:lang w:eastAsia="zh-CN"/>
        </w:rPr>
      </w:pPr>
    </w:p>
    <w:p w14:paraId="67343A65">
      <w:pPr>
        <w:spacing w:line="360" w:lineRule="auto"/>
        <w:rPr>
          <w:rFonts w:hint="eastAsia" w:asciiTheme="minorEastAsia" w:hAnsiTheme="minorEastAsia" w:eastAsiaTheme="minorEastAsia" w:cstheme="minorEastAsia"/>
          <w:b/>
          <w:bCs/>
          <w:sz w:val="24"/>
          <w:szCs w:val="24"/>
          <w:lang w:eastAsia="zh-CN"/>
        </w:rPr>
      </w:pPr>
    </w:p>
    <w:p w14:paraId="226E90D9">
      <w:pPr>
        <w:spacing w:line="360" w:lineRule="auto"/>
        <w:rPr>
          <w:rFonts w:hint="eastAsia" w:asciiTheme="minorEastAsia" w:hAnsiTheme="minorEastAsia" w:eastAsiaTheme="minorEastAsia" w:cstheme="minorEastAsia"/>
          <w:b/>
          <w:bCs/>
          <w:sz w:val="24"/>
          <w:szCs w:val="24"/>
          <w:lang w:eastAsia="zh-CN"/>
        </w:rPr>
      </w:pPr>
    </w:p>
    <w:p w14:paraId="67A48D86">
      <w:pPr>
        <w:spacing w:line="360" w:lineRule="auto"/>
        <w:rPr>
          <w:rFonts w:hint="eastAsia" w:asciiTheme="minorEastAsia" w:hAnsiTheme="minorEastAsia" w:eastAsiaTheme="minorEastAsia" w:cstheme="minorEastAsia"/>
          <w:b/>
          <w:bCs/>
          <w:sz w:val="24"/>
          <w:szCs w:val="24"/>
          <w:lang w:eastAsia="zh-CN"/>
        </w:rPr>
      </w:pPr>
    </w:p>
    <w:p w14:paraId="50CA65CC">
      <w:pPr>
        <w:spacing w:line="360" w:lineRule="auto"/>
        <w:rPr>
          <w:rFonts w:hint="eastAsia" w:asciiTheme="minorEastAsia" w:hAnsiTheme="minorEastAsia" w:eastAsiaTheme="minorEastAsia" w:cstheme="minorEastAsia"/>
          <w:b/>
          <w:bCs/>
          <w:sz w:val="24"/>
          <w:szCs w:val="24"/>
          <w:lang w:eastAsia="zh-CN"/>
        </w:rPr>
      </w:pPr>
    </w:p>
    <w:p w14:paraId="00854E8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p>
    <w:p w14:paraId="1526CC2D">
      <w:pPr>
        <w:spacing w:line="360" w:lineRule="auto"/>
        <w:ind w:firstLine="3614" w:firstLineChars="15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报价明细表</w:t>
      </w:r>
    </w:p>
    <w:p w14:paraId="5D5A5536">
      <w:pPr>
        <w:spacing w:line="360" w:lineRule="auto"/>
        <w:rPr>
          <w:rFonts w:hint="eastAsia" w:asciiTheme="minorEastAsia" w:hAnsiTheme="minorEastAsia" w:eastAsiaTheme="minorEastAsia" w:cstheme="minorEastAsia"/>
          <w:sz w:val="24"/>
          <w:szCs w:val="24"/>
          <w:lang w:val="zh-CN"/>
        </w:rPr>
      </w:pPr>
    </w:p>
    <w:tbl>
      <w:tblPr>
        <w:tblStyle w:val="12"/>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740"/>
        <w:gridCol w:w="4921"/>
        <w:gridCol w:w="1480"/>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69" w:type="pct"/>
            <w:noWrap w:val="0"/>
            <w:vAlign w:val="center"/>
          </w:tcPr>
          <w:p w14:paraId="33CF04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11" w:type="pct"/>
            <w:noWrap w:val="0"/>
            <w:vAlign w:val="center"/>
          </w:tcPr>
          <w:p w14:paraId="010FED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860" w:type="pct"/>
            <w:noWrap w:val="0"/>
            <w:vAlign w:val="center"/>
          </w:tcPr>
          <w:p w14:paraId="188336A1">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sz w:val="24"/>
                <w:szCs w:val="24"/>
                <w:lang w:val="en-US" w:eastAsia="zh-CN"/>
              </w:rPr>
              <w:t>代理</w:t>
            </w:r>
            <w:r>
              <w:rPr>
                <w:rFonts w:hint="eastAsia" w:ascii="宋体" w:hAnsi="宋体" w:eastAsia="宋体" w:cs="宋体"/>
                <w:sz w:val="24"/>
                <w:szCs w:val="24"/>
              </w:rPr>
              <w:t>范围</w:t>
            </w:r>
          </w:p>
        </w:tc>
        <w:tc>
          <w:tcPr>
            <w:tcW w:w="858" w:type="pct"/>
            <w:noWrap w:val="0"/>
            <w:vAlign w:val="center"/>
          </w:tcPr>
          <w:p w14:paraId="054B8D8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报价（元）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noWrap w:val="0"/>
            <w:vAlign w:val="center"/>
          </w:tcPr>
          <w:p w14:paraId="3EDD6B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11" w:type="pct"/>
            <w:noWrap w:val="0"/>
            <w:vAlign w:val="center"/>
          </w:tcPr>
          <w:p w14:paraId="3E8A7834">
            <w:pPr>
              <w:spacing w:line="360" w:lineRule="auto"/>
              <w:jc w:val="center"/>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bCs/>
                <w:color w:val="auto"/>
                <w:kern w:val="2"/>
                <w:sz w:val="24"/>
                <w:szCs w:val="24"/>
                <w:lang w:val="en-US" w:eastAsia="zh-CN" w:bidi="ar-SA"/>
              </w:rPr>
              <w:t>充换电兼容模式新能源车辆采购项目招标代理</w:t>
            </w:r>
            <w:r>
              <w:rPr>
                <w:rFonts w:hint="eastAsia" w:asciiTheme="minorEastAsia" w:hAnsiTheme="minorEastAsia" w:cstheme="minorEastAsia"/>
                <w:bCs/>
                <w:color w:val="auto"/>
                <w:kern w:val="2"/>
                <w:sz w:val="24"/>
                <w:szCs w:val="24"/>
                <w:lang w:val="en-US" w:eastAsia="zh-CN" w:bidi="ar-SA"/>
              </w:rPr>
              <w:t>机构</w:t>
            </w:r>
            <w:r>
              <w:rPr>
                <w:rFonts w:hint="default" w:asciiTheme="minorEastAsia" w:hAnsiTheme="minorEastAsia" w:eastAsiaTheme="minorEastAsia" w:cstheme="minorEastAsia"/>
                <w:bCs/>
                <w:color w:val="auto"/>
                <w:kern w:val="2"/>
                <w:sz w:val="24"/>
                <w:szCs w:val="24"/>
                <w:lang w:val="en-US" w:eastAsia="zh-CN" w:bidi="ar-SA"/>
              </w:rPr>
              <w:t>采购</w:t>
            </w:r>
          </w:p>
        </w:tc>
        <w:tc>
          <w:tcPr>
            <w:tcW w:w="2860" w:type="pct"/>
            <w:noWrap w:val="0"/>
            <w:vAlign w:val="center"/>
          </w:tcPr>
          <w:p w14:paraId="20C0A94C">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要求开展充换电兼容模式新能源车辆采购项目的代理工作。具体工作内容包括但不限于：拟订代理工作方案；编制、发售、解释招标文件，并负责文件答疑、补遗；发送成交通知书；办理评标专家抽取手续；组织召开招标会议、评标工作，并做好评标记录；接受投标申请，答复询问及异议；按要求提供招标文件、投标文件和招标会议、评标过程等资料；按要求查询项目采购相关法律规定及各行业资质证书等内容；按要求做好项目资料整理归档工作；完成委托的其他事项</w:t>
            </w:r>
            <w:r>
              <w:rPr>
                <w:rFonts w:hint="eastAsia" w:asciiTheme="minorEastAsia" w:hAnsiTheme="minorEastAsia" w:cstheme="minorEastAsia"/>
                <w:kern w:val="2"/>
                <w:sz w:val="24"/>
                <w:szCs w:val="24"/>
                <w:lang w:val="en-US" w:eastAsia="zh-CN" w:bidi="ar-SA"/>
              </w:rPr>
              <w:t>。</w:t>
            </w:r>
          </w:p>
        </w:tc>
        <w:tc>
          <w:tcPr>
            <w:tcW w:w="858" w:type="pct"/>
            <w:noWrap w:val="0"/>
            <w:vAlign w:val="center"/>
          </w:tcPr>
          <w:p w14:paraId="7261F496">
            <w:pPr>
              <w:spacing w:line="360" w:lineRule="auto"/>
              <w:jc w:val="center"/>
              <w:rPr>
                <w:rFonts w:hint="eastAsia" w:asciiTheme="minorEastAsia" w:hAnsiTheme="minorEastAsia" w:eastAsiaTheme="minorEastAsia" w:cstheme="minorEastAsia"/>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356253F9">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备注：税率：【】%</w:t>
            </w:r>
          </w:p>
        </w:tc>
      </w:tr>
    </w:tbl>
    <w:p w14:paraId="72F38F80">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lang w:val="en-US" w:eastAsia="zh-CN"/>
        </w:rPr>
        <w:t>注：1、</w:t>
      </w:r>
      <w:r>
        <w:rPr>
          <w:rFonts w:hint="eastAsia" w:asciiTheme="minorEastAsia" w:hAnsiTheme="minorEastAsia" w:cstheme="minorEastAsia"/>
          <w:sz w:val="24"/>
          <w:szCs w:val="24"/>
          <w:lang w:val="en-US" w:eastAsia="zh-CN"/>
        </w:rPr>
        <w:t>上述报价为包干费用，</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cstheme="minorEastAsia"/>
          <w:sz w:val="24"/>
          <w:szCs w:val="24"/>
          <w:lang w:val="en-US" w:eastAsia="zh-CN"/>
        </w:rPr>
        <w:t>所有招标代理</w:t>
      </w:r>
      <w:r>
        <w:rPr>
          <w:rFonts w:hint="eastAsia" w:asciiTheme="minorEastAsia" w:hAnsiTheme="minorEastAsia" w:eastAsiaTheme="minorEastAsia" w:cstheme="minorEastAsia"/>
          <w:sz w:val="24"/>
          <w:szCs w:val="24"/>
          <w:lang w:val="en-US" w:eastAsia="zh-CN"/>
        </w:rPr>
        <w:t>服务费如人工费、差旅费、税费、咨询费等，委托人无需支付</w:t>
      </w:r>
      <w:r>
        <w:rPr>
          <w:rFonts w:hint="eastAsia" w:asciiTheme="minorEastAsia" w:hAnsiTheme="minorEastAsia" w:cstheme="minorEastAsia"/>
          <w:sz w:val="24"/>
          <w:szCs w:val="24"/>
          <w:lang w:val="en-US" w:eastAsia="zh-CN"/>
        </w:rPr>
        <w:t>招标代理</w:t>
      </w:r>
      <w:r>
        <w:rPr>
          <w:rFonts w:hint="eastAsia" w:asciiTheme="minorEastAsia" w:hAnsiTheme="minorEastAsia" w:eastAsiaTheme="minorEastAsia" w:cstheme="minorEastAsia"/>
          <w:sz w:val="24"/>
          <w:szCs w:val="24"/>
          <w:lang w:val="en-US" w:eastAsia="zh-CN"/>
        </w:rPr>
        <w:t>人其他任何费用。</w:t>
      </w:r>
    </w:p>
    <w:p w14:paraId="746708EA">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sz w:val="24"/>
          <w:szCs w:val="24"/>
        </w:rPr>
      </w:pPr>
    </w:p>
    <w:p w14:paraId="2304565E">
      <w:pPr>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/单位负责人</w:t>
      </w:r>
      <w:r>
        <w:rPr>
          <w:rFonts w:hint="eastAsia" w:asciiTheme="minorEastAsia" w:hAnsiTheme="minorEastAsia" w:eastAsiaTheme="minorEastAsia" w:cstheme="minorEastAsia"/>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报价人（单位公章）：</w:t>
      </w:r>
    </w:p>
    <w:p w14:paraId="0B4B56B2">
      <w:pPr>
        <w:pStyle w:val="2"/>
        <w:ind w:left="0" w:leftChars="0" w:firstLine="0" w:firstLineChars="0"/>
        <w:rPr>
          <w:rFonts w:hint="eastAsia"/>
          <w:lang w:val="zh-CN"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EB7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C514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C514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0932A5E"/>
    <w:rsid w:val="01190C0B"/>
    <w:rsid w:val="015A0ECA"/>
    <w:rsid w:val="0182657E"/>
    <w:rsid w:val="01CC3A29"/>
    <w:rsid w:val="02026D6F"/>
    <w:rsid w:val="024508C8"/>
    <w:rsid w:val="028571FD"/>
    <w:rsid w:val="030B6598"/>
    <w:rsid w:val="035370AE"/>
    <w:rsid w:val="036A1510"/>
    <w:rsid w:val="049F6791"/>
    <w:rsid w:val="04B8274F"/>
    <w:rsid w:val="04B96FF0"/>
    <w:rsid w:val="057D4B33"/>
    <w:rsid w:val="06F55743"/>
    <w:rsid w:val="07691137"/>
    <w:rsid w:val="077E3859"/>
    <w:rsid w:val="07E03EA7"/>
    <w:rsid w:val="09936FAB"/>
    <w:rsid w:val="0AAD6E96"/>
    <w:rsid w:val="0AD85B59"/>
    <w:rsid w:val="0B42016A"/>
    <w:rsid w:val="0D0979F4"/>
    <w:rsid w:val="0D403B3F"/>
    <w:rsid w:val="0D5C3892"/>
    <w:rsid w:val="0E14260F"/>
    <w:rsid w:val="0E3523E8"/>
    <w:rsid w:val="0E903615"/>
    <w:rsid w:val="0F7F45C1"/>
    <w:rsid w:val="1052348A"/>
    <w:rsid w:val="109E21C6"/>
    <w:rsid w:val="11F05777"/>
    <w:rsid w:val="12812445"/>
    <w:rsid w:val="12874E81"/>
    <w:rsid w:val="12D417BD"/>
    <w:rsid w:val="14E804E7"/>
    <w:rsid w:val="163805AD"/>
    <w:rsid w:val="169F1079"/>
    <w:rsid w:val="172B131C"/>
    <w:rsid w:val="17417586"/>
    <w:rsid w:val="178355FA"/>
    <w:rsid w:val="18AC5F5F"/>
    <w:rsid w:val="19185113"/>
    <w:rsid w:val="1A2C70C8"/>
    <w:rsid w:val="1A3F6DFB"/>
    <w:rsid w:val="1B972F0B"/>
    <w:rsid w:val="1C78399A"/>
    <w:rsid w:val="1CC42A04"/>
    <w:rsid w:val="1CCE6676"/>
    <w:rsid w:val="1D1560E4"/>
    <w:rsid w:val="1D3B7F49"/>
    <w:rsid w:val="1DCD5DCC"/>
    <w:rsid w:val="1E0D7210"/>
    <w:rsid w:val="1E13466D"/>
    <w:rsid w:val="1F813A12"/>
    <w:rsid w:val="1FA23A2F"/>
    <w:rsid w:val="1FA94E87"/>
    <w:rsid w:val="1FC646A6"/>
    <w:rsid w:val="1FF736E3"/>
    <w:rsid w:val="20290CBD"/>
    <w:rsid w:val="261439FA"/>
    <w:rsid w:val="26AE54B9"/>
    <w:rsid w:val="26BA3865"/>
    <w:rsid w:val="28864F75"/>
    <w:rsid w:val="2A31170C"/>
    <w:rsid w:val="2D1876F2"/>
    <w:rsid w:val="2E0D1483"/>
    <w:rsid w:val="2E222864"/>
    <w:rsid w:val="302A44C3"/>
    <w:rsid w:val="30C145B6"/>
    <w:rsid w:val="32B049D1"/>
    <w:rsid w:val="33E169EA"/>
    <w:rsid w:val="3409421F"/>
    <w:rsid w:val="361725B5"/>
    <w:rsid w:val="364D738D"/>
    <w:rsid w:val="37C93D50"/>
    <w:rsid w:val="39706133"/>
    <w:rsid w:val="3AB1338A"/>
    <w:rsid w:val="3B903B70"/>
    <w:rsid w:val="3BC431AC"/>
    <w:rsid w:val="3CD124E4"/>
    <w:rsid w:val="3CE65E70"/>
    <w:rsid w:val="3D1B504E"/>
    <w:rsid w:val="3D6C1B6E"/>
    <w:rsid w:val="3DCB0FC7"/>
    <w:rsid w:val="3DDD2303"/>
    <w:rsid w:val="407578BC"/>
    <w:rsid w:val="41016D9A"/>
    <w:rsid w:val="41313024"/>
    <w:rsid w:val="41C212C1"/>
    <w:rsid w:val="423B0B82"/>
    <w:rsid w:val="44DD71B0"/>
    <w:rsid w:val="45092DCD"/>
    <w:rsid w:val="45971BFC"/>
    <w:rsid w:val="47C3256A"/>
    <w:rsid w:val="492603D9"/>
    <w:rsid w:val="49D90009"/>
    <w:rsid w:val="49D956BF"/>
    <w:rsid w:val="49EC10DD"/>
    <w:rsid w:val="4B483A7E"/>
    <w:rsid w:val="4B7A5635"/>
    <w:rsid w:val="4C040AF9"/>
    <w:rsid w:val="4C0A3B7F"/>
    <w:rsid w:val="4CF431C6"/>
    <w:rsid w:val="4D4607F6"/>
    <w:rsid w:val="4E72249D"/>
    <w:rsid w:val="4F1F0CCC"/>
    <w:rsid w:val="4FD74E04"/>
    <w:rsid w:val="4FF3119C"/>
    <w:rsid w:val="51174178"/>
    <w:rsid w:val="51712357"/>
    <w:rsid w:val="51750D79"/>
    <w:rsid w:val="51844B18"/>
    <w:rsid w:val="51FF6AB7"/>
    <w:rsid w:val="52343738"/>
    <w:rsid w:val="525D3950"/>
    <w:rsid w:val="52EE09B0"/>
    <w:rsid w:val="540E4833"/>
    <w:rsid w:val="54833ABB"/>
    <w:rsid w:val="55BE344A"/>
    <w:rsid w:val="55D156E7"/>
    <w:rsid w:val="560C77DB"/>
    <w:rsid w:val="56CC1CCF"/>
    <w:rsid w:val="576B54DE"/>
    <w:rsid w:val="57D35F21"/>
    <w:rsid w:val="57D41595"/>
    <w:rsid w:val="57F537CB"/>
    <w:rsid w:val="58324AE6"/>
    <w:rsid w:val="5838665C"/>
    <w:rsid w:val="586D1C4F"/>
    <w:rsid w:val="596811C3"/>
    <w:rsid w:val="5984446C"/>
    <w:rsid w:val="5ADA1C4D"/>
    <w:rsid w:val="5AFF08F3"/>
    <w:rsid w:val="5B0B2A5D"/>
    <w:rsid w:val="5B2353A2"/>
    <w:rsid w:val="5B955A8C"/>
    <w:rsid w:val="5C8A0373"/>
    <w:rsid w:val="5EB95879"/>
    <w:rsid w:val="5F613AD9"/>
    <w:rsid w:val="5FD8753C"/>
    <w:rsid w:val="6020597B"/>
    <w:rsid w:val="602A2D2E"/>
    <w:rsid w:val="60D67D30"/>
    <w:rsid w:val="614D4875"/>
    <w:rsid w:val="61524BC6"/>
    <w:rsid w:val="618F277B"/>
    <w:rsid w:val="61AB60F1"/>
    <w:rsid w:val="627C3D25"/>
    <w:rsid w:val="63217C2C"/>
    <w:rsid w:val="63D556A7"/>
    <w:rsid w:val="64A274F7"/>
    <w:rsid w:val="64AC28D6"/>
    <w:rsid w:val="65757142"/>
    <w:rsid w:val="65F52031"/>
    <w:rsid w:val="676A5052"/>
    <w:rsid w:val="68975217"/>
    <w:rsid w:val="69787200"/>
    <w:rsid w:val="6A4C1F27"/>
    <w:rsid w:val="6A791EF3"/>
    <w:rsid w:val="6B78783A"/>
    <w:rsid w:val="6CCF1803"/>
    <w:rsid w:val="6DDC1394"/>
    <w:rsid w:val="6DFC3186"/>
    <w:rsid w:val="6EB96263"/>
    <w:rsid w:val="70AE7910"/>
    <w:rsid w:val="70D35C8A"/>
    <w:rsid w:val="70F73101"/>
    <w:rsid w:val="718F6E95"/>
    <w:rsid w:val="71E73CA1"/>
    <w:rsid w:val="732B6917"/>
    <w:rsid w:val="73BA341F"/>
    <w:rsid w:val="73D2661D"/>
    <w:rsid w:val="74112F50"/>
    <w:rsid w:val="741F1F53"/>
    <w:rsid w:val="751F3648"/>
    <w:rsid w:val="75447A43"/>
    <w:rsid w:val="76B17511"/>
    <w:rsid w:val="76B778D2"/>
    <w:rsid w:val="776F16CC"/>
    <w:rsid w:val="78297FF2"/>
    <w:rsid w:val="78687070"/>
    <w:rsid w:val="7AF54004"/>
    <w:rsid w:val="7BFD6EC4"/>
    <w:rsid w:val="7C091F3A"/>
    <w:rsid w:val="7D4B306D"/>
    <w:rsid w:val="7D717D97"/>
    <w:rsid w:val="7DDC36CC"/>
    <w:rsid w:val="7E0874C7"/>
    <w:rsid w:val="7EA321D2"/>
    <w:rsid w:val="7F6174E6"/>
    <w:rsid w:val="7FA03CFF"/>
    <w:rsid w:val="7FC261BC"/>
    <w:rsid w:val="7FF9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jc w:val="both"/>
    </w:pPr>
    <w:rPr>
      <w:color w:val="000000"/>
      <w:sz w:val="21"/>
      <w:szCs w:val="21"/>
    </w:rPr>
  </w:style>
  <w:style w:type="paragraph" w:styleId="3">
    <w:name w:val="Body Text Indent"/>
    <w:basedOn w:val="1"/>
    <w:next w:val="1"/>
    <w:qFormat/>
    <w:uiPriority w:val="0"/>
    <w:pPr>
      <w:widowControl w:val="0"/>
      <w:adjustRightInd w:val="0"/>
      <w:spacing w:after="0" w:line="288" w:lineRule="auto"/>
      <w:ind w:left="200" w:hanging="20"/>
      <w:jc w:val="both"/>
    </w:pPr>
    <w:rPr>
      <w:rFonts w:ascii="宋体" w:hAnsi="宋体" w:eastAsia="宋体" w:cs="Times New Roman"/>
      <w:kern w:val="0"/>
      <w:sz w:val="24"/>
      <w:szCs w:val="24"/>
    </w:r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character" w:styleId="14">
    <w:name w:val="Strong"/>
    <w:basedOn w:val="13"/>
    <w:qFormat/>
    <w:uiPriority w:val="0"/>
    <w:rPr>
      <w:b/>
    </w:rPr>
  </w:style>
  <w:style w:type="character" w:styleId="15">
    <w:name w:val="Emphasis"/>
    <w:basedOn w:val="13"/>
    <w:qFormat/>
    <w:uiPriority w:val="20"/>
    <w:rPr>
      <w:i/>
      <w:iCs/>
    </w:rPr>
  </w:style>
  <w:style w:type="character" w:customStyle="1" w:styleId="16">
    <w:name w:val="font71"/>
    <w:basedOn w:val="13"/>
    <w:qFormat/>
    <w:uiPriority w:val="0"/>
    <w:rPr>
      <w:rFonts w:ascii="Arial" w:hAnsi="Arial" w:cs="Arial"/>
      <w:color w:val="000000"/>
      <w:sz w:val="28"/>
      <w:szCs w:val="28"/>
      <w:u w:val="none"/>
    </w:rPr>
  </w:style>
  <w:style w:type="character" w:customStyle="1" w:styleId="17">
    <w:name w:val="font51"/>
    <w:basedOn w:val="13"/>
    <w:qFormat/>
    <w:uiPriority w:val="0"/>
    <w:rPr>
      <w:rFonts w:hint="eastAsia" w:ascii="宋体" w:hAnsi="宋体" w:eastAsia="宋体" w:cs="宋体"/>
      <w:color w:val="000000"/>
      <w:sz w:val="28"/>
      <w:szCs w:val="28"/>
      <w:u w:val="none"/>
    </w:rPr>
  </w:style>
  <w:style w:type="character" w:customStyle="1" w:styleId="18">
    <w:name w:val="font61"/>
    <w:basedOn w:val="13"/>
    <w:qFormat/>
    <w:uiPriority w:val="0"/>
    <w:rPr>
      <w:rFonts w:hint="eastAsia" w:ascii="宋体" w:hAnsi="宋体" w:eastAsia="宋体" w:cs="宋体"/>
      <w:color w:val="000000"/>
      <w:sz w:val="28"/>
      <w:szCs w:val="28"/>
      <w:u w:val="none"/>
    </w:rPr>
  </w:style>
  <w:style w:type="character" w:customStyle="1" w:styleId="19">
    <w:name w:val="font01"/>
    <w:basedOn w:val="13"/>
    <w:qFormat/>
    <w:uiPriority w:val="0"/>
    <w:rPr>
      <w:rFonts w:hint="default" w:ascii="Arial" w:hAnsi="Arial" w:cs="Arial"/>
      <w:color w:val="000000"/>
      <w:sz w:val="20"/>
      <w:szCs w:val="20"/>
      <w:u w:val="none"/>
    </w:rPr>
  </w:style>
  <w:style w:type="character" w:customStyle="1" w:styleId="20">
    <w:name w:val="font101"/>
    <w:basedOn w:val="13"/>
    <w:qFormat/>
    <w:uiPriority w:val="0"/>
    <w:rPr>
      <w:rFonts w:hint="eastAsia" w:ascii="宋体" w:hAnsi="宋体" w:eastAsia="宋体" w:cs="宋体"/>
      <w:color w:val="000000"/>
      <w:sz w:val="20"/>
      <w:szCs w:val="20"/>
      <w:u w:val="none"/>
    </w:rPr>
  </w:style>
  <w:style w:type="paragraph" w:customStyle="1" w:styleId="21">
    <w:name w:val="2"/>
    <w:basedOn w:val="1"/>
    <w:next w:val="1"/>
    <w:qFormat/>
    <w:uiPriority w:val="0"/>
    <w:pPr>
      <w:adjustRightInd w:val="0"/>
      <w:spacing w:line="420" w:lineRule="atLeast"/>
      <w:ind w:left="1134" w:hanging="227"/>
    </w:pPr>
    <w:rPr>
      <w:kern w:val="0"/>
    </w:rPr>
  </w:style>
  <w:style w:type="character" w:customStyle="1" w:styleId="22">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3">
    <w:name w:val="0"/>
    <w:basedOn w:val="1"/>
    <w:qFormat/>
    <w:uiPriority w:val="0"/>
    <w:pPr>
      <w:snapToGrid w:val="0"/>
    </w:pPr>
    <w:rPr>
      <w:rFonts w:hint="eastAsia"/>
      <w:szCs w:val="20"/>
    </w:rPr>
  </w:style>
  <w:style w:type="paragraph" w:customStyle="1" w:styleId="24">
    <w:name w:val="正文文本1"/>
    <w:basedOn w:val="1"/>
    <w:qFormat/>
    <w:uiPriority w:val="0"/>
    <w:pPr>
      <w:spacing w:after="120"/>
    </w:pPr>
    <w:rPr>
      <w:kern w:val="0"/>
      <w:sz w:val="20"/>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3740</Words>
  <Characters>3973</Characters>
  <Lines>0</Lines>
  <Paragraphs>0</Paragraphs>
  <TotalTime>9</TotalTime>
  <ScaleCrop>false</ScaleCrop>
  <LinksUpToDate>false</LinksUpToDate>
  <CharactersWithSpaces>4104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KYS</cp:lastModifiedBy>
  <dcterms:modified xsi:type="dcterms:W3CDTF">2026-06-05T01:16:20Z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23657C99E1924A73BFD88EEC6AC34E9B_12</vt:lpwstr>
  </property>
  <property fmtid="{D5CDD505-2E9C-101B-9397-08002B2CF9AE}" pid="4" name="KSOTemplateDocerSaveRecord">
    <vt:lpwstr>eyJoZGlkIjoiODQwNDY2YTJiNmVhNWI1NmZjMTU5NGExYzY3NjUzNjciLCJ1c2VySWQiOiIxMDIzOTAzNTMxIn0=</vt:lpwstr>
  </property>
</Properties>
</file>